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3A4D6">
      <w:pPr>
        <w:pStyle w:val="4"/>
        <w:spacing w:before="24"/>
        <w:ind w:left="173"/>
        <w:rPr>
          <w:rFonts w:ascii="Times New Roman" w:eastAsia="Times New Roman"/>
        </w:rPr>
      </w:pPr>
      <w:r>
        <w:t xml:space="preserve">附件 </w:t>
      </w:r>
      <w:r>
        <w:rPr>
          <w:rFonts w:ascii="Times New Roman" w:eastAsia="Times New Roman"/>
        </w:rPr>
        <w:t>1</w:t>
      </w:r>
    </w:p>
    <w:p w14:paraId="4709C66B">
      <w:pPr>
        <w:pStyle w:val="4"/>
        <w:spacing w:before="3"/>
        <w:ind w:left="0"/>
        <w:rPr>
          <w:rFonts w:ascii="Times New Roman"/>
          <w:sz w:val="44"/>
        </w:rPr>
      </w:pPr>
    </w:p>
    <w:p w14:paraId="2E7ECE23">
      <w:pPr>
        <w:pStyle w:val="3"/>
      </w:pPr>
      <w:r>
        <w:t>云南省消防安全重点单位界定标准（试行）</w:t>
      </w:r>
    </w:p>
    <w:p w14:paraId="146852FF">
      <w:pPr>
        <w:pStyle w:val="4"/>
        <w:spacing w:before="9"/>
        <w:ind w:left="0"/>
        <w:rPr>
          <w:rFonts w:ascii="方正小标宋_GBK"/>
        </w:rPr>
      </w:pPr>
    </w:p>
    <w:p w14:paraId="1D791426">
      <w:pPr>
        <w:pStyle w:val="4"/>
        <w:spacing w:before="1" w:line="283" w:lineRule="auto"/>
        <w:ind w:left="173" w:right="114" w:firstLine="64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spacing w:val="-31"/>
          <w:w w:val="95"/>
        </w:rPr>
        <w:t>一、商场</w:t>
      </w:r>
      <w:r>
        <w:rPr>
          <w:rFonts w:hint="eastAsia" w:ascii="方正黑体_GBK" w:eastAsia="方正黑体_GBK"/>
          <w:spacing w:val="-3"/>
          <w:w w:val="95"/>
        </w:rPr>
        <w:t>（</w:t>
      </w:r>
      <w:r>
        <w:rPr>
          <w:rFonts w:hint="eastAsia" w:ascii="方正黑体_GBK" w:eastAsia="方正黑体_GBK"/>
          <w:spacing w:val="-13"/>
          <w:w w:val="95"/>
        </w:rPr>
        <w:t>市场、商店</w:t>
      </w:r>
      <w:r>
        <w:rPr>
          <w:rFonts w:hint="eastAsia" w:ascii="方正黑体_GBK" w:eastAsia="方正黑体_GBK"/>
          <w:spacing w:val="-65"/>
          <w:w w:val="95"/>
        </w:rPr>
        <w:t>）</w:t>
      </w:r>
      <w:r>
        <w:rPr>
          <w:rFonts w:hint="eastAsia" w:ascii="方正黑体_GBK" w:eastAsia="方正黑体_GBK"/>
          <w:spacing w:val="-42"/>
          <w:w w:val="95"/>
        </w:rPr>
        <w:t>、宾馆</w:t>
      </w:r>
      <w:r>
        <w:rPr>
          <w:rFonts w:hint="eastAsia" w:ascii="方正黑体_GBK" w:eastAsia="方正黑体_GBK"/>
          <w:spacing w:val="-3"/>
          <w:w w:val="95"/>
        </w:rPr>
        <w:t>（</w:t>
      </w:r>
      <w:r>
        <w:rPr>
          <w:rFonts w:hint="eastAsia" w:ascii="方正黑体_GBK" w:eastAsia="方正黑体_GBK"/>
          <w:spacing w:val="-14"/>
          <w:w w:val="95"/>
        </w:rPr>
        <w:t>酒店、旅馆</w:t>
      </w:r>
      <w:r>
        <w:rPr>
          <w:rFonts w:hint="eastAsia" w:ascii="方正黑体_GBK" w:eastAsia="方正黑体_GBK"/>
          <w:spacing w:val="-63"/>
          <w:w w:val="95"/>
        </w:rPr>
        <w:t>）</w:t>
      </w:r>
      <w:r>
        <w:rPr>
          <w:rFonts w:hint="eastAsia" w:ascii="方正黑体_GBK" w:eastAsia="方正黑体_GBK"/>
          <w:spacing w:val="-33"/>
          <w:w w:val="95"/>
        </w:rPr>
        <w:t>、体育场</w:t>
      </w:r>
      <w:r>
        <w:rPr>
          <w:rFonts w:hint="eastAsia" w:ascii="方正黑体_GBK" w:eastAsia="方正黑体_GBK"/>
          <w:w w:val="95"/>
        </w:rPr>
        <w:t>（馆</w:t>
      </w:r>
      <w:r>
        <w:rPr>
          <w:rFonts w:hint="eastAsia" w:ascii="方正黑体_GBK" w:eastAsia="方正黑体_GBK"/>
          <w:spacing w:val="-159"/>
          <w:w w:val="95"/>
        </w:rPr>
        <w:t>）</w:t>
      </w:r>
      <w:r>
        <w:rPr>
          <w:rFonts w:hint="eastAsia" w:ascii="方正黑体_GBK" w:eastAsia="方正黑体_GBK"/>
          <w:w w:val="95"/>
        </w:rPr>
        <w:t xml:space="preserve">、  </w:t>
      </w:r>
      <w:r>
        <w:rPr>
          <w:rFonts w:hint="eastAsia" w:ascii="方正黑体_GBK" w:eastAsia="方正黑体_GBK"/>
        </w:rPr>
        <w:t>会堂、公共娱乐场所等公众聚集场所：</w:t>
      </w:r>
    </w:p>
    <w:p w14:paraId="704A52FA">
      <w:pPr>
        <w:pStyle w:val="4"/>
        <w:spacing w:line="514" w:lineRule="exact"/>
      </w:pPr>
      <w:r>
        <w:t>（一）任一层建筑面积</w:t>
      </w:r>
      <w:r>
        <w:rPr>
          <w:rFonts w:ascii="Times New Roman" w:eastAsia="Times New Roman"/>
        </w:rPr>
        <w:t>1500</w:t>
      </w:r>
      <w:r>
        <w:t>平方米以上（含本数，下同）或</w:t>
      </w:r>
    </w:p>
    <w:p w14:paraId="73303168">
      <w:pPr>
        <w:pStyle w:val="4"/>
        <w:spacing w:line="514" w:lineRule="exact"/>
        <w:ind w:left="0" w:leftChars="0" w:firstLine="0" w:firstLineChars="0"/>
      </w:pPr>
      <w:r>
        <w:t>总建筑面积</w:t>
      </w:r>
      <w:r>
        <w:rPr>
          <w:rFonts w:ascii="Times New Roman" w:eastAsia="Times New Roman"/>
        </w:rPr>
        <w:t>3000</w:t>
      </w:r>
      <w:r>
        <w:t>平方米以上且经营可燃物品的商场、商店、市场；总建筑面积</w:t>
      </w:r>
      <w:r>
        <w:rPr>
          <w:rFonts w:ascii="Times New Roman" w:eastAsia="Times New Roman"/>
        </w:rPr>
        <w:t>500</w:t>
      </w:r>
      <w:r>
        <w:t>平方米以上且经营可燃物品的地下、半地下商场、商店、市场。</w:t>
      </w:r>
    </w:p>
    <w:p w14:paraId="7A1C2350">
      <w:pPr>
        <w:pStyle w:val="4"/>
        <w:numPr>
          <w:ilvl w:val="0"/>
          <w:numId w:val="1"/>
        </w:numPr>
        <w:spacing w:before="6"/>
      </w:pPr>
      <w:r>
        <w:t>任一层建筑面积</w:t>
      </w:r>
      <w:r>
        <w:rPr>
          <w:rFonts w:ascii="Times New Roman" w:eastAsia="Times New Roman"/>
        </w:rPr>
        <w:t>1500</w:t>
      </w:r>
      <w:r>
        <w:t>平方米以上或总建筑面积</w:t>
      </w:r>
      <w:r>
        <w:rPr>
          <w:rFonts w:ascii="Times New Roman" w:eastAsia="Times New Roman"/>
        </w:rPr>
        <w:t>3000</w:t>
      </w:r>
      <w:r>
        <w:t>平</w:t>
      </w:r>
    </w:p>
    <w:p w14:paraId="04B9498C">
      <w:pPr>
        <w:pStyle w:val="4"/>
        <w:spacing w:before="6"/>
        <w:ind w:left="0" w:leftChars="0" w:firstLine="0" w:firstLineChars="0"/>
      </w:pPr>
      <w:r>
        <w:t>方米以上的宾馆（酒店、旅馆）等住宿类场所。</w:t>
      </w:r>
    </w:p>
    <w:p w14:paraId="08966D35">
      <w:pPr>
        <w:pStyle w:val="4"/>
        <w:spacing w:before="82" w:line="278" w:lineRule="auto"/>
        <w:ind w:left="173" w:right="271" w:firstLine="640"/>
      </w:pPr>
      <w:r>
        <w:t>（三）</w:t>
      </w:r>
      <w:r>
        <w:rPr>
          <w:rFonts w:ascii="Times New Roman" w:eastAsia="Times New Roman"/>
        </w:rPr>
        <w:t>2000</w:t>
      </w:r>
      <w:r>
        <w:t>个座位以上的会堂或礼堂，</w:t>
      </w:r>
      <w:r>
        <w:rPr>
          <w:rFonts w:ascii="Times New Roman" w:eastAsia="Times New Roman"/>
        </w:rPr>
        <w:t>3000</w:t>
      </w:r>
      <w:r>
        <w:t>个座位以上的体育馆，</w:t>
      </w:r>
      <w:r>
        <w:rPr>
          <w:rFonts w:ascii="Times New Roman" w:eastAsia="Times New Roman"/>
        </w:rPr>
        <w:t>5000</w:t>
      </w:r>
      <w:r>
        <w:t>个座位以上的体育场。</w:t>
      </w:r>
    </w:p>
    <w:p w14:paraId="033B28B7">
      <w:pPr>
        <w:pStyle w:val="4"/>
        <w:spacing w:line="278" w:lineRule="auto"/>
        <w:ind w:left="173" w:right="114" w:firstLine="640"/>
      </w:pPr>
      <w:r>
        <w:t>（四）设置在地下或半地下、多层建筑的地上第四层及以上楼层、高层民用建筑内、设置在多层建筑第一层至第三层且楼层</w:t>
      </w:r>
      <w:r>
        <w:rPr>
          <w:spacing w:val="-14"/>
        </w:rPr>
        <w:t>建筑面积</w:t>
      </w:r>
      <w:r>
        <w:rPr>
          <w:rFonts w:ascii="Times New Roman" w:eastAsia="Times New Roman"/>
        </w:rPr>
        <w:t>300</w:t>
      </w:r>
      <w:r>
        <w:rPr>
          <w:spacing w:val="-6"/>
        </w:rPr>
        <w:t>平方米以上或总建筑面积</w:t>
      </w:r>
      <w:r>
        <w:rPr>
          <w:rFonts w:ascii="Times New Roman" w:eastAsia="Times New Roman"/>
        </w:rPr>
        <w:t>500</w:t>
      </w:r>
      <w:r>
        <w:t>平方米以上的下列公</w:t>
      </w:r>
      <w:r>
        <w:rPr>
          <w:spacing w:val="3"/>
        </w:rPr>
        <w:t>共娱乐场所：</w:t>
      </w:r>
      <w:r>
        <w:rPr>
          <w:rFonts w:ascii="Times New Roman" w:eastAsia="Times New Roman"/>
          <w:spacing w:val="2"/>
        </w:rPr>
        <w:t>1.</w:t>
      </w:r>
      <w:r>
        <w:rPr>
          <w:spacing w:val="3"/>
        </w:rPr>
        <w:t>影剧院、录像厅等演出、放映场所；</w:t>
      </w:r>
      <w:r>
        <w:rPr>
          <w:rFonts w:ascii="Times New Roman" w:eastAsia="Times New Roman"/>
          <w:spacing w:val="2"/>
        </w:rPr>
        <w:t>2.</w:t>
      </w:r>
      <w:r>
        <w:rPr>
          <w:spacing w:val="2"/>
        </w:rPr>
        <w:t>舞厅、卡</w:t>
      </w:r>
      <w:r>
        <w:rPr>
          <w:spacing w:val="-33"/>
        </w:rPr>
        <w:t>拉</w:t>
      </w:r>
      <w:r>
        <w:rPr>
          <w:rFonts w:ascii="Times New Roman" w:eastAsia="Times New Roman"/>
        </w:rPr>
        <w:t xml:space="preserve">OK </w:t>
      </w:r>
      <w:r>
        <w:rPr>
          <w:spacing w:val="-2"/>
        </w:rPr>
        <w:t>厅等歌舞娱乐场所；</w:t>
      </w:r>
      <w:r>
        <w:rPr>
          <w:rFonts w:ascii="Times New Roman" w:eastAsia="Times New Roman"/>
          <w:spacing w:val="-11"/>
        </w:rPr>
        <w:t>3.</w:t>
      </w:r>
      <w:r>
        <w:rPr>
          <w:spacing w:val="-3"/>
        </w:rPr>
        <w:t>具有娱乐功能的夜总会、音乐茶座、</w:t>
      </w:r>
      <w:r>
        <w:t>酒吧和餐饮场所；</w:t>
      </w:r>
      <w:r>
        <w:rPr>
          <w:rFonts w:ascii="Times New Roman" w:eastAsia="Times New Roman"/>
        </w:rPr>
        <w:t>4.</w:t>
      </w:r>
      <w:r>
        <w:t>室内游艺、游乐场所和保龄球馆、桑拿等娱乐、健身、休闲场所；</w:t>
      </w:r>
      <w:r>
        <w:rPr>
          <w:rFonts w:ascii="Times New Roman" w:eastAsia="Times New Roman"/>
        </w:rPr>
        <w:t>5.</w:t>
      </w:r>
      <w:r>
        <w:t>互联网上网服务营业场所。</w:t>
      </w:r>
    </w:p>
    <w:p w14:paraId="713CCF6E">
      <w:pPr>
        <w:pStyle w:val="4"/>
        <w:spacing w:line="487" w:lineRule="exact"/>
        <w:rPr>
          <w:rFonts w:ascii="方正黑体_GBK"/>
          <w:sz w:val="26"/>
        </w:rPr>
      </w:pPr>
      <w:r>
        <w:rPr>
          <w:rFonts w:hint="eastAsia" w:ascii="方正黑体_GBK" w:eastAsia="方正黑体_GBK"/>
        </w:rPr>
        <w:t>二、医院、福利院和寄宿制的学校、托儿所、幼儿园：</w:t>
      </w:r>
    </w:p>
    <w:p w14:paraId="00C88136">
      <w:pPr>
        <w:pStyle w:val="4"/>
        <w:spacing w:before="24"/>
      </w:pPr>
      <w:r>
        <w:t>（一）住院床位</w:t>
      </w:r>
      <w:r>
        <w:rPr>
          <w:rFonts w:ascii="Times New Roman" w:eastAsia="Times New Roman"/>
        </w:rPr>
        <w:t>200</w:t>
      </w:r>
      <w:r>
        <w:t>张以上的医院。</w:t>
      </w:r>
    </w:p>
    <w:p w14:paraId="12ABA7E0">
      <w:pPr>
        <w:pStyle w:val="4"/>
        <w:spacing w:before="80"/>
      </w:pPr>
      <w:r>
        <w:t>（二）住院床位</w:t>
      </w:r>
      <w:r>
        <w:rPr>
          <w:rFonts w:ascii="Times New Roman" w:eastAsia="Times New Roman"/>
        </w:rPr>
        <w:t>200</w:t>
      </w:r>
      <w:r>
        <w:t>张以上的福利院。</w:t>
      </w:r>
    </w:p>
    <w:p w14:paraId="496BC45B">
      <w:pPr>
        <w:pStyle w:val="4"/>
        <w:spacing w:before="78"/>
      </w:pPr>
      <w:r>
        <w:t>（三）住宿床位在</w:t>
      </w:r>
      <w:r>
        <w:rPr>
          <w:rFonts w:ascii="Times New Roman" w:eastAsia="Times New Roman"/>
        </w:rPr>
        <w:t>200</w:t>
      </w:r>
      <w:r>
        <w:t>张以上的寄宿制学校或办学点。</w:t>
      </w:r>
    </w:p>
    <w:p w14:paraId="530E44EC">
      <w:pPr>
        <w:pStyle w:val="4"/>
        <w:spacing w:before="80"/>
      </w:pPr>
      <w:r>
        <w:t>（四）中型和大型幼儿园。</w:t>
      </w:r>
    </w:p>
    <w:p w14:paraId="05B2F2B9">
      <w:pPr>
        <w:pStyle w:val="4"/>
        <w:spacing w:before="81"/>
      </w:pPr>
      <w:r>
        <w:t>（五）托位数在</w:t>
      </w:r>
      <w:r>
        <w:rPr>
          <w:rFonts w:ascii="Times New Roman" w:eastAsia="Times New Roman"/>
        </w:rPr>
        <w:t>75</w:t>
      </w:r>
      <w:r>
        <w:t>个以上的托育机构。</w:t>
      </w:r>
    </w:p>
    <w:p w14:paraId="6015332C">
      <w:pPr>
        <w:pStyle w:val="4"/>
        <w:spacing w:before="8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三、国家机关：</w:t>
      </w:r>
    </w:p>
    <w:p w14:paraId="74FB6728">
      <w:pPr>
        <w:pStyle w:val="4"/>
        <w:spacing w:before="90"/>
      </w:pPr>
      <w:r>
        <w:t>（一）县级以上的党委、人大、政府、政协、纪委监委。</w:t>
      </w:r>
    </w:p>
    <w:p w14:paraId="386CCC70">
      <w:pPr>
        <w:pStyle w:val="4"/>
        <w:spacing w:before="18"/>
      </w:pPr>
      <w:r>
        <w:t>（二）人民检察院、人民法院。</w:t>
      </w:r>
    </w:p>
    <w:p w14:paraId="639AD9BA">
      <w:pPr>
        <w:pStyle w:val="4"/>
        <w:spacing w:before="171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四、广播、电视和邮政、通信枢纽：</w:t>
      </w:r>
    </w:p>
    <w:p w14:paraId="3447EAC7">
      <w:pPr>
        <w:pStyle w:val="4"/>
        <w:spacing w:before="90"/>
      </w:pPr>
      <w:r>
        <w:t>（一）州（市）级以上广播电台、电视台。</w:t>
      </w:r>
    </w:p>
    <w:p w14:paraId="54A929DF">
      <w:pPr>
        <w:pStyle w:val="4"/>
        <w:spacing w:before="78"/>
      </w:pPr>
      <w:r>
        <w:t>（二）州（市）级以上邮政、通信枢纽单位。</w:t>
      </w:r>
    </w:p>
    <w:p w14:paraId="0CE62159">
      <w:pPr>
        <w:pStyle w:val="4"/>
        <w:spacing w:before="8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五、客运车站、港口、城市轨道交通、民用机场：</w:t>
      </w:r>
    </w:p>
    <w:p w14:paraId="47304E7B">
      <w:pPr>
        <w:pStyle w:val="4"/>
        <w:spacing w:before="93" w:line="276" w:lineRule="auto"/>
        <w:ind w:left="173" w:right="271" w:firstLine="600"/>
      </w:pPr>
      <w:r>
        <w:t>（一</w:t>
      </w:r>
      <w:r>
        <w:rPr>
          <w:spacing w:val="-60"/>
        </w:rPr>
        <w:t>）</w:t>
      </w:r>
      <w:r>
        <w:rPr>
          <w:spacing w:val="-13"/>
        </w:rPr>
        <w:t>候车厅、候船厅的建筑面积</w:t>
      </w:r>
      <w:r>
        <w:rPr>
          <w:rFonts w:ascii="Times New Roman" w:eastAsia="Times New Roman"/>
        </w:rPr>
        <w:t>3000</w:t>
      </w:r>
      <w:r>
        <w:t>平方米以上的客运车站、港口。</w:t>
      </w:r>
    </w:p>
    <w:p w14:paraId="419113A5">
      <w:pPr>
        <w:pStyle w:val="4"/>
        <w:spacing w:before="3"/>
        <w:ind w:left="773"/>
      </w:pPr>
      <w:r>
        <w:t>（二）城市轨道交通运营单位。</w:t>
      </w:r>
    </w:p>
    <w:p w14:paraId="6DB6F0BF">
      <w:pPr>
        <w:pStyle w:val="4"/>
        <w:spacing w:before="81"/>
        <w:ind w:left="773"/>
      </w:pPr>
      <w:r>
        <w:rPr>
          <w:w w:val="95"/>
        </w:rPr>
        <w:t>（三）民用机场。</w:t>
      </w:r>
    </w:p>
    <w:p w14:paraId="4157626E">
      <w:pPr>
        <w:pStyle w:val="4"/>
        <w:spacing w:before="80" w:line="283" w:lineRule="auto"/>
        <w:ind w:left="173" w:right="273" w:firstLine="64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w w:val="95"/>
        </w:rPr>
        <w:t xml:space="preserve">六、公共图书馆、展览馆、博物馆、档案馆以及具有火灾危  </w:t>
      </w:r>
      <w:r>
        <w:rPr>
          <w:rFonts w:hint="eastAsia" w:ascii="方正黑体_GBK" w:eastAsia="方正黑体_GBK"/>
        </w:rPr>
        <w:t>险性的文物保护单位：</w:t>
      </w:r>
    </w:p>
    <w:p w14:paraId="14A2C4DA">
      <w:pPr>
        <w:pStyle w:val="4"/>
        <w:spacing w:line="514" w:lineRule="exact"/>
      </w:pPr>
      <w:r>
        <w:t>（一）任一层建筑面积</w:t>
      </w:r>
      <w:r>
        <w:rPr>
          <w:rFonts w:ascii="Times New Roman" w:eastAsia="Times New Roman"/>
        </w:rPr>
        <w:t>1500</w:t>
      </w:r>
      <w:r>
        <w:t>平方米以上或总建筑面积</w:t>
      </w:r>
      <w:r>
        <w:rPr>
          <w:rFonts w:ascii="Times New Roman" w:eastAsia="Times New Roman"/>
        </w:rPr>
        <w:t>3000</w:t>
      </w:r>
      <w:r>
        <w:t>平方米以上的公共图书馆、展览馆。</w:t>
      </w:r>
    </w:p>
    <w:p w14:paraId="55095A23">
      <w:pPr>
        <w:pStyle w:val="4"/>
        <w:spacing w:before="80"/>
        <w:rPr>
          <w:sz w:val="26"/>
        </w:rPr>
      </w:pPr>
      <w:r>
        <w:t>（二）等级博物馆、县级以上档案馆。</w:t>
      </w:r>
    </w:p>
    <w:p w14:paraId="38EE419D">
      <w:pPr>
        <w:pStyle w:val="4"/>
        <w:spacing w:before="22"/>
      </w:pPr>
      <w:r>
        <w:t>（三）具有火灾危险性的省级以上文物保护单位。</w:t>
      </w:r>
    </w:p>
    <w:p w14:paraId="60B7EC06">
      <w:pPr>
        <w:pStyle w:val="4"/>
        <w:spacing w:before="8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七、发电厂（站）、电网经营企业、储能电站：</w:t>
      </w:r>
    </w:p>
    <w:p w14:paraId="0E18B54C">
      <w:pPr>
        <w:pStyle w:val="4"/>
        <w:spacing w:before="90"/>
      </w:pPr>
      <w:r>
        <w:t>（一</w:t>
      </w:r>
      <w:r>
        <w:rPr>
          <w:spacing w:val="-60"/>
        </w:rPr>
        <w:t>）</w:t>
      </w:r>
      <w:r>
        <w:rPr>
          <w:spacing w:val="-6"/>
        </w:rPr>
        <w:t>发电机组装机总容量在</w:t>
      </w:r>
      <w:r>
        <w:rPr>
          <w:rFonts w:ascii="Times New Roman" w:eastAsia="Times New Roman"/>
        </w:rPr>
        <w:t>5</w:t>
      </w:r>
      <w:r>
        <w:rPr>
          <w:spacing w:val="-32"/>
        </w:rPr>
        <w:t xml:space="preserve">万 </w:t>
      </w:r>
      <w:r>
        <w:rPr>
          <w:rFonts w:ascii="Times New Roman" w:eastAsia="Times New Roman"/>
        </w:rPr>
        <w:t>KW</w:t>
      </w:r>
      <w:r>
        <w:rPr>
          <w:spacing w:val="-10"/>
        </w:rPr>
        <w:t>以上的发电厂</w:t>
      </w:r>
      <w:r>
        <w:t>（站</w:t>
      </w:r>
      <w:r>
        <w:rPr>
          <w:spacing w:val="-94"/>
        </w:rPr>
        <w:t>）</w:t>
      </w:r>
      <w:r>
        <w:t>。</w:t>
      </w:r>
    </w:p>
    <w:p w14:paraId="66BD7F1B">
      <w:pPr>
        <w:pStyle w:val="4"/>
        <w:spacing w:before="80"/>
      </w:pPr>
      <w:r>
        <w:t>（二）州（市）级以上的电力指挥调度单位。</w:t>
      </w:r>
    </w:p>
    <w:p w14:paraId="29FA049F">
      <w:pPr>
        <w:pStyle w:val="4"/>
        <w:spacing w:before="8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八、易燃易爆化学物品的生产、储存、供应、销售单位：</w:t>
      </w:r>
    </w:p>
    <w:p w14:paraId="1D6AECD3">
      <w:pPr>
        <w:pStyle w:val="4"/>
        <w:spacing w:before="91" w:line="278" w:lineRule="auto"/>
        <w:ind w:left="173" w:right="273" w:firstLine="640"/>
      </w:pPr>
      <w:r>
        <w:t>（一）建筑面积</w:t>
      </w:r>
      <w:r>
        <w:rPr>
          <w:rFonts w:ascii="Times New Roman" w:eastAsia="Times New Roman"/>
        </w:rPr>
        <w:t>2000</w:t>
      </w:r>
      <w:r>
        <w:t>平方米以上生产易燃易爆危险物品的企业。</w:t>
      </w:r>
    </w:p>
    <w:p w14:paraId="45FB3CD0">
      <w:pPr>
        <w:pStyle w:val="4"/>
        <w:spacing w:line="511" w:lineRule="exact"/>
      </w:pPr>
      <w:r>
        <w:t>（二）二级以上的石油库。</w:t>
      </w:r>
    </w:p>
    <w:p w14:paraId="170BBE1D">
      <w:pPr>
        <w:pStyle w:val="4"/>
        <w:spacing w:before="80" w:line="276" w:lineRule="auto"/>
        <w:ind w:left="173" w:right="202" w:firstLine="640"/>
      </w:pPr>
      <w:r>
        <w:t>（三）建筑面积</w:t>
      </w:r>
      <w:r>
        <w:rPr>
          <w:rFonts w:ascii="Times New Roman" w:eastAsia="Times New Roman"/>
        </w:rPr>
        <w:t>300</w:t>
      </w:r>
      <w:r>
        <w:t>平方米以上的储存易燃易爆危险物品的企业（堆场、储罐等）。</w:t>
      </w:r>
    </w:p>
    <w:p w14:paraId="6F61701B">
      <w:pPr>
        <w:pStyle w:val="4"/>
        <w:spacing w:before="3" w:line="278" w:lineRule="auto"/>
        <w:ind w:left="173" w:right="273" w:firstLine="640"/>
      </w:pPr>
      <w:r>
        <w:rPr>
          <w:w w:val="95"/>
        </w:rPr>
        <w:t>（四）一级营业性加油加气站（加油站、加气站、加油加气</w:t>
      </w:r>
      <w:r>
        <w:t>站合建站）。</w:t>
      </w:r>
    </w:p>
    <w:p w14:paraId="755C7492">
      <w:pPr>
        <w:pStyle w:val="4"/>
        <w:spacing w:line="501" w:lineRule="exact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九、劳动密集型生产、加工企业：</w:t>
      </w:r>
    </w:p>
    <w:p w14:paraId="47F709C5">
      <w:pPr>
        <w:pStyle w:val="4"/>
        <w:spacing w:before="93" w:line="276" w:lineRule="auto"/>
        <w:ind w:left="173" w:right="271" w:firstLine="640"/>
        <w:jc w:val="both"/>
      </w:pPr>
      <w:r>
        <w:t>生产车间员工在</w:t>
      </w:r>
      <w:r>
        <w:rPr>
          <w:rFonts w:ascii="Times New Roman" w:eastAsia="Times New Roman"/>
        </w:rPr>
        <w:t>1000</w:t>
      </w:r>
      <w:r>
        <w:t>人以上或同一工作时段员工在</w:t>
      </w:r>
      <w:r>
        <w:rPr>
          <w:rFonts w:ascii="Times New Roman" w:eastAsia="Times New Roman"/>
        </w:rPr>
        <w:t>200</w:t>
      </w:r>
      <w:r>
        <w:t>人以上的服装、鞋帽、玩具、木制品、家具、塑料、食品加工和纺织、印染、印刷等劳动密集型企业。</w:t>
      </w:r>
    </w:p>
    <w:p w14:paraId="23710D19">
      <w:pPr>
        <w:pStyle w:val="4"/>
        <w:spacing w:before="6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十、重要的科研单位：</w:t>
      </w:r>
    </w:p>
    <w:p w14:paraId="3E63B5D3">
      <w:pPr>
        <w:pStyle w:val="4"/>
        <w:spacing w:before="91"/>
      </w:pPr>
      <w:r>
        <w:t>具有火灾危险性的省级以上科研单位。</w:t>
      </w:r>
    </w:p>
    <w:p w14:paraId="4BC2A77E">
      <w:pPr>
        <w:pStyle w:val="4"/>
        <w:spacing w:before="80" w:line="283" w:lineRule="auto"/>
        <w:ind w:left="173" w:right="273" w:firstLine="64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w w:val="95"/>
        </w:rPr>
        <w:t xml:space="preserve">十一、其他发生火灾可能性较大以及发生火灾可能造成重大  </w:t>
      </w:r>
      <w:r>
        <w:rPr>
          <w:rFonts w:hint="eastAsia" w:ascii="方正黑体_GBK" w:eastAsia="方正黑体_GBK"/>
        </w:rPr>
        <w:t>的人身伤亡或财产损失的单位：</w:t>
      </w:r>
    </w:p>
    <w:p w14:paraId="41983A93">
      <w:pPr>
        <w:pStyle w:val="4"/>
        <w:spacing w:line="276" w:lineRule="auto"/>
        <w:ind w:left="173" w:right="273" w:firstLine="640"/>
      </w:pPr>
      <w:r>
        <w:t>（一）建筑高度</w:t>
      </w:r>
      <w:r>
        <w:rPr>
          <w:rFonts w:ascii="Times New Roman" w:eastAsia="Times New Roman"/>
        </w:rPr>
        <w:t>50</w:t>
      </w:r>
      <w:r>
        <w:t>米以上的办公楼（写字楼）、公寓楼等公共建筑的产权、使用或物业管理单位。</w:t>
      </w:r>
    </w:p>
    <w:p w14:paraId="4117B220">
      <w:pPr>
        <w:pStyle w:val="4"/>
        <w:spacing w:before="24"/>
        <w:ind w:left="0" w:leftChars="0" w:firstLine="912" w:firstLineChars="300"/>
      </w:pPr>
      <w:r>
        <w:rPr>
          <w:w w:val="95"/>
        </w:rPr>
        <w:t>（二）国家储备粮库，总储量</w:t>
      </w:r>
      <w:r>
        <w:rPr>
          <w:rFonts w:ascii="Times New Roman" w:eastAsia="Times New Roman"/>
          <w:w w:val="95"/>
        </w:rPr>
        <w:t>1</w:t>
      </w:r>
      <w:r>
        <w:rPr>
          <w:w w:val="95"/>
        </w:rPr>
        <w:t>万吨以上的其他粮库。</w:t>
      </w:r>
    </w:p>
    <w:p w14:paraId="37A672DD">
      <w:pPr>
        <w:pStyle w:val="4"/>
        <w:spacing w:before="80"/>
      </w:pPr>
      <w:r>
        <w:t>（三）国家</w:t>
      </w:r>
      <w:r>
        <w:rPr>
          <w:rFonts w:ascii="Times New Roman" w:eastAsia="Times New Roman"/>
        </w:rPr>
        <w:t>AAAA</w:t>
      </w:r>
      <w:r>
        <w:t>级以上旅游风景名胜区管理单位。</w:t>
      </w:r>
    </w:p>
    <w:p w14:paraId="07B1EE38">
      <w:pPr>
        <w:pStyle w:val="4"/>
        <w:spacing w:before="78" w:line="278" w:lineRule="auto"/>
        <w:ind w:left="173" w:right="273" w:firstLine="640"/>
      </w:pPr>
      <w:r>
        <w:t>（四）设有总储存价值</w:t>
      </w:r>
      <w:r>
        <w:rPr>
          <w:rFonts w:ascii="Times New Roman" w:eastAsia="Times New Roman"/>
        </w:rPr>
        <w:t>5000</w:t>
      </w:r>
      <w:r>
        <w:t>万元以上可燃物品仓库、堆场的企业。</w:t>
      </w:r>
    </w:p>
    <w:p w14:paraId="04075148">
      <w:pPr>
        <w:spacing w:after="0" w:line="278" w:lineRule="auto"/>
        <w:sectPr>
          <w:pgSz w:w="11910" w:h="16840"/>
          <w:pgMar w:top="1580" w:right="1200" w:bottom="1540" w:left="1300" w:header="0" w:footer="1350" w:gutter="0"/>
          <w:cols w:space="720" w:num="1"/>
        </w:sectPr>
      </w:pPr>
    </w:p>
    <w:p w14:paraId="3CD614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5BF737"/>
    <w:multiLevelType w:val="singleLevel"/>
    <w:tmpl w:val="525BF73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26573"/>
    <w:rsid w:val="38A2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1"/>
    <w:pPr>
      <w:ind w:left="473"/>
      <w:outlineLvl w:val="1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paragraph" w:styleId="4">
    <w:name w:val="Body Text"/>
    <w:basedOn w:val="1"/>
    <w:qFormat/>
    <w:uiPriority w:val="1"/>
    <w:pPr>
      <w:ind w:left="814"/>
    </w:pPr>
    <w:rPr>
      <w:rFonts w:ascii="方正仿宋_GBK" w:hAnsi="方正仿宋_GBK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2025-01-17T02:42:00Z</dcterms:created>
  <dc:creator>WPS_1515121944</dc:creator>
  <cp:lastModifiedBy>WPS_1515121944</cp:lastModifiedBy>
  <dcterms:modified xsi:type="dcterms:W3CDTF">2025-01-17T02:45:17Z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381A7BD3A7C148AD95BD3736F497EA13_11</vt:lpwstr>
  </property>
  <property fmtid="{D5CDD505-2E9C-101B-9397-08002B2CF9AE}" pid="4" name="KSOTemplateDocerSaveRecord">
    <vt:lpwstr>eyJoZGlkIjoiMTNkZGExMGFkNmNkMjZkMjVlMjMzOTZlNTUwMzJiZjUiLCJ1c2VySWQiOiIzMzY2MTYzMzAifQ==</vt:lpwstr>
  </property>
</Properties>
</file>